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Підготовлено Офісом з підтримки змін у системі Міністерства оборони України </w:t>
      </w:r>
    </w:p>
    <w:p w:rsidR="00000000" w:rsidDel="00000000" w:rsidP="00000000" w:rsidRDefault="00000000" w:rsidRPr="00000000" w14:paraId="00000002">
      <w:pPr>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у співпраці з Проєктом реформи оборонних закупівель за підтримки Міністерства оборони Великої Британії </w:t>
      </w:r>
    </w:p>
    <w:p w:rsidR="00000000" w:rsidDel="00000000" w:rsidP="00000000" w:rsidRDefault="00000000" w:rsidRPr="00000000" w14:paraId="00000003">
      <w:pPr>
        <w:jc w:val="right"/>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04">
      <w:pPr>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Група розробників: </w:t>
      </w:r>
    </w:p>
    <w:p w:rsidR="00000000" w:rsidDel="00000000" w:rsidP="00000000" w:rsidRDefault="00000000" w:rsidRPr="00000000" w14:paraId="00000005">
      <w:pPr>
        <w:jc w:val="right"/>
        <w:rPr>
          <w:rFonts w:ascii="Arial" w:cs="Arial" w:eastAsia="Arial" w:hAnsi="Arial"/>
          <w:sz w:val="22"/>
          <w:szCs w:val="22"/>
        </w:rPr>
      </w:pPr>
      <w:r w:rsidDel="00000000" w:rsidR="00000000" w:rsidRPr="00000000">
        <w:rPr>
          <w:rFonts w:ascii="Times New Roman" w:cs="Times New Roman" w:eastAsia="Times New Roman" w:hAnsi="Times New Roman"/>
          <w:i w:val="1"/>
          <w:sz w:val="24"/>
          <w:szCs w:val="24"/>
          <w:rtl w:val="0"/>
        </w:rPr>
        <w:t xml:space="preserve">Євгеній Сільверстов, Неллі Стельмах, Юрій Попик, Олег Блінов</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7">
      <w:pPr>
        <w:spacing w:after="20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466090" cy="639445"/>
            <wp:effectExtent b="0" l="0" r="0" t="0"/>
            <wp:docPr id="102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66090" cy="639445"/>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ХХХХХ СІЛЬСЬКА РАДА</w:t>
      </w: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76" w:lineRule="auto"/>
        <w:ind w:left="0" w:right="0" w:firstLine="0"/>
        <w:jc w:val="center"/>
        <w:rPr>
          <w:rFonts w:ascii="Times New Roman" w:cs="Times New Roman" w:eastAsia="Times New Roman" w:hAnsi="Times New Roman"/>
          <w:b w:val="0"/>
          <w:i w:val="0"/>
          <w:smallCaps w:val="0"/>
          <w:strike w:val="0"/>
          <w:color w:val="00000a"/>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4"/>
          <w:szCs w:val="24"/>
          <w:u w:val="none"/>
          <w:shd w:fill="auto" w:val="clear"/>
          <w:vertAlign w:val="baseline"/>
          <w:rtl w:val="0"/>
        </w:rPr>
        <w:t xml:space="preserve">ХХХХХ РАЙОНУ ХХХХХХ ОБЛАСТІ</w:t>
      </w:r>
      <w:r w:rsidDel="00000000" w:rsidR="00000000" w:rsidRPr="00000000">
        <w:rPr>
          <w:rtl w:val="0"/>
        </w:rPr>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_________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сесія  VІІІ скликання</w:t>
      </w:r>
      <w:r w:rsidDel="00000000" w:rsidR="00000000" w:rsidRPr="00000000">
        <w:rPr>
          <w:rtl w:val="0"/>
        </w:rPr>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 І Ш Е Н Н Я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__ березень   2024 року                              с. ХХХХХХХ                                                №  ХХХХ</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425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779"/>
        </w:tabs>
        <w:spacing w:after="0" w:before="0" w:line="276" w:lineRule="auto"/>
        <w:ind w:left="0" w:right="-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 затвердження «Програми покращення  матеріально-технічного </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779"/>
        </w:tabs>
        <w:spacing w:after="0" w:before="0" w:line="276" w:lineRule="auto"/>
        <w:ind w:left="0" w:right="-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забезпечення військової частини АХХХХ за рахунок коштів сільського бюджету</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779"/>
        </w:tabs>
        <w:spacing w:after="200" w:before="0" w:line="276" w:lineRule="auto"/>
        <w:ind w:left="0" w:right="-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ХХХХХХХХХ територіальної громади на 2024 рік </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У зв’язку зі складною ситуацією на сході нашої держави та загрозою відкритої агресії з боку р</w:t>
      </w:r>
      <w:bookmarkStart w:colFirst="0" w:colLast="0" w:name="bookmark=id.gjdgxs" w:id="0"/>
      <w:bookmarkEnd w:id="0"/>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осійської Федерації, з метою підтримання бойової і мобілізаційної готовності Збройних Сил України та інших військових формувань України на рівні, що гарантує адекватне реагування на загрози національній безпеці держави,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ідповідно до Законів України «Про оборону»,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 основи національного спротиву»,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керуючись п. 22 ч. 1 ст. 26 Закону України «Про місцеве самоврядування в Україні», враховуючи висновок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постійної комісії сільської ради</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з питань</w:t>
      </w:r>
      <w:r w:rsidDel="00000000" w:rsidR="00000000" w:rsidRPr="00000000">
        <w:rPr>
          <w:rFonts w:ascii="Times New Roman" w:cs="Times New Roman" w:eastAsia="Times New Roman" w:hAnsi="Times New Roman"/>
          <w:b w:val="0"/>
          <w:i w:val="1"/>
          <w:smallCaps w:val="0"/>
          <w:strike w:val="0"/>
          <w:color w:val="000000"/>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бюджету, фінансів та планування соціально-економічного розвитку,</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сільська рада</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ВИРІШИЛА:</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779"/>
        </w:tabs>
        <w:spacing w:after="0" w:before="0" w:line="276" w:lineRule="auto"/>
        <w:ind w:left="0" w:right="-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1. Затвердити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Програму</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покращення  матеріально-технічного забезпечення військової частини АХХХХ  за рахунок коштів сільського бюджету  ХХХХХХХХХХ територіальної громади на 2024 рік</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(додається).</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2. Контроль за виконанням даного рішення покласти на уповноважену сільської ради з питань бюджету, фінансів та планування соціально-економічного розвитку (голова Я.Крамар).</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Сільський голова </w:t>
        <w:tab/>
        <w:tab/>
        <w:tab/>
        <w:tab/>
        <w:tab/>
        <w:t xml:space="preserve">      Михайло ГАВРИЛЯК</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21" w:right="0" w:firstLine="707.999999999999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ЗАТВЕРДЖЕНО</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2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рішенням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________________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сесії </w:t>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2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ХХХХХХХХХХХХ сільської ради  </w:t>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2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________ 2024 року  № _______</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2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Сільський голова</w:t>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2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____________ М. Гавряляк</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19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19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19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19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19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19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19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19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19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19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19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192"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ПРОГРАМА</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779"/>
        </w:tabs>
        <w:spacing w:after="0" w:before="0" w:line="276" w:lineRule="auto"/>
        <w:ind w:left="0" w:right="-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покращення  матеріально-технічного забезпечення військової частини АХХХХ</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779"/>
        </w:tabs>
        <w:spacing w:after="0" w:before="0" w:line="276" w:lineRule="auto"/>
        <w:ind w:left="0" w:right="-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 рахунок коштів сільського бюджету ХХХХХХХХХ територіальної громади</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779"/>
        </w:tabs>
        <w:spacing w:after="0" w:before="0" w:line="276" w:lineRule="auto"/>
        <w:ind w:left="0" w:right="-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 2024 рік</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ХХХХХХХХХХ</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2024 рік</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192" w:lineRule="auto"/>
        <w:ind w:left="474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Паспорт Програми</w:t>
      </w:r>
      <w:r w:rsidDel="00000000" w:rsidR="00000000" w:rsidRPr="00000000">
        <w:rPr>
          <w:rtl w:val="0"/>
        </w:rPr>
      </w:r>
    </w:p>
    <w:tbl>
      <w:tblPr>
        <w:tblStyle w:val="Table1"/>
        <w:tblW w:w="10835.0" w:type="dxa"/>
        <w:jc w:val="left"/>
        <w:tblInd w:w="-108.0" w:type="dxa"/>
        <w:tblLayout w:type="fixed"/>
        <w:tblLook w:val="0000"/>
      </w:tblPr>
      <w:tblGrid>
        <w:gridCol w:w="236"/>
        <w:gridCol w:w="2661"/>
        <w:gridCol w:w="7938"/>
        <w:tblGridChange w:id="0">
          <w:tblGrid>
            <w:gridCol w:w="236"/>
            <w:gridCol w:w="2661"/>
            <w:gridCol w:w="7938"/>
          </w:tblGrid>
        </w:tblGridChange>
      </w:tblGrid>
      <w:tr>
        <w:trPr>
          <w:cantSplit w:val="0"/>
          <w:trHeight w:val="84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Ініціатор розроблення Цільової програми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Військова частина АХХХХ</w:t>
            </w:r>
          </w:p>
        </w:tc>
      </w:tr>
      <w:tr>
        <w:trPr>
          <w:cantSplit w:val="0"/>
          <w:trHeight w:val="29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Підстави для розроблення Програми</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Закон України «Про місцеве самоврядування в Україні», Закон України «Про затвердження Указу Президента України «Про введення воєнного стану в Україні», постанова Кабінету Міністрів України №252 від 11.03.2022р. «Деякі питання формування та виконання бюджетів у період воєнного стану»</w:t>
            </w:r>
          </w:p>
        </w:tc>
      </w:tr>
      <w:tr>
        <w:trPr>
          <w:cantSplit w:val="0"/>
          <w:trHeight w:val="29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Розробник Цільової програми</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Військова частина АХХХХ</w:t>
            </w:r>
          </w:p>
        </w:tc>
      </w:tr>
      <w:tr>
        <w:trPr>
          <w:cantSplit w:val="0"/>
          <w:trHeight w:val="29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Головні розпорядники коштів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Фінансовий відділ ХХХХХХХХХ сільської ради</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Військова частина АХХХХ</w:t>
            </w:r>
          </w:p>
        </w:tc>
      </w:tr>
      <w:tr>
        <w:trPr>
          <w:cantSplit w:val="0"/>
          <w:trHeight w:val="29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Відповідальні виконавці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Командування військової частини АХХХХ</w:t>
            </w:r>
          </w:p>
        </w:tc>
      </w:tr>
      <w:tr>
        <w:trPr>
          <w:cantSplit w:val="0"/>
          <w:trHeight w:val="29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Строк виконання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2024 рік</w:t>
            </w:r>
          </w:p>
        </w:tc>
      </w:tr>
      <w:tr>
        <w:trPr>
          <w:cantSplit w:val="0"/>
          <w:trHeight w:val="29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Прогнозовані обсяги та джерела фінансування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300 000,00</w:t>
            </w:r>
          </w:p>
        </w:tc>
      </w:tr>
    </w:tbl>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120" w:line="276" w:lineRule="auto"/>
        <w:ind w:left="0" w:right="0" w:firstLine="851"/>
        <w:jc w:val="center"/>
        <w:rPr>
          <w:rFonts w:ascii="Times New Roman" w:cs="Times New Roman" w:eastAsia="Times New Roman" w:hAnsi="Times New Roman"/>
          <w:b w:val="0"/>
          <w:i w:val="0"/>
          <w:smallCaps w:val="0"/>
          <w:strike w:val="0"/>
          <w:color w:val="00395a"/>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 Загальна частина</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Програма покращення матеріально-технічного забезпечення військової частини АХХХХ за рахунок коштів сільського бюджету ХХХХХХХХХХХ територіальної громади на 2024 рік (далі – Програма) – це комплекс заходів, що здійснюються на місцевому рівні з метою підтримання на належному рівні бойової готовності, надання своєчасної підтримки військовослужбовців.</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Програма покликана сприяти реалізації Законів України «Про Збройні Сили України», «Про Оборону», Закон України «Про затвердження Указу Президента України «Про введення воєнного стану в Україні», «Про статус ветеранів війни, гарантії їх соціального захисту», </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рішення Ради національної безпеки і оборони України від 7 травня 2019 року «Про заходи щодо зміцнення обороноздатності держави»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Постанови Кабінету Міністрів України «Про Державну програму розвитку Збройних Сил України на період до 2025 року», підвищення бойової готовності військової частини, зміцнення військової дисципліни серед особового складу та медичного обслуговування військовослужбовців морально-психологічної готовності до виконання бойових завдань  призначенням.</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851"/>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ІІ. Мета Програми</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Метою Програми є сприяння покращенню матеріально-технічного забезпечення військової частини та підвищення рівня бойової готовності до виконання бойових завдань в період воєнного стану в Україні, зміцнення морально-психологічної готовності військовослужбовців в ході несення служби для захисту України.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851"/>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ІІІ. Завдання Програми</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Налагодження взаємодії органу місцевого самоврядування у сфері зміцнення обороноздатності України, надання матеріально-фінансової допомоги військовим для виконання завдань по підвищенню бойової готовності особового складу до виконання бойових завдань.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всебічної соціальної підтримки військовослужбовців  та передбачення виділення окремих коштів на місцевому рівні.</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Формування позитивного ставлення до захисників України, членів їх родин, покращення патріотичного виховання молоді, популяризація військової служби в Збройних Силах України.</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ІV. Результати реалізації Програми</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визначених Програмою заходів підвищить рівень бойової готовності військовослужбовців, зміцнить військову дисципліну та морально-психологічний клімат у підрозділах.</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Результати реалізації Програми зменшать соціальну напругу щодо вирішення соціально-побутових питань військовослужбовців, сприятиме довірі до органів місцевого самоврядування.</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 Джерела фінансування Програми</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Фінансування Програми здійснюється за рахунок коштів сільського бюджету та інших джерел, не заборонених чинним законодавством.</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VI. Звітність про виконання Програми</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програми припиняється після закінчення встановленого строку, після чого головний розпорядник коштів (відповідальний виконавець) Програми складає заключний звіт про результати її виконання.</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851"/>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VIІ. Напрямки реалізації та заходи Програми</w:t>
      </w:r>
      <w:r w:rsidDel="00000000" w:rsidR="00000000" w:rsidRPr="00000000">
        <w:rPr>
          <w:rtl w:val="0"/>
        </w:rPr>
      </w:r>
    </w:p>
    <w:tbl>
      <w:tblPr>
        <w:tblStyle w:val="Table2"/>
        <w:tblW w:w="1083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68"/>
        <w:gridCol w:w="366"/>
        <w:gridCol w:w="3621"/>
        <w:gridCol w:w="206"/>
        <w:gridCol w:w="1690"/>
        <w:gridCol w:w="290"/>
        <w:gridCol w:w="2033"/>
        <w:gridCol w:w="191"/>
        <w:gridCol w:w="1870"/>
        <w:tblGridChange w:id="0">
          <w:tblGrid>
            <w:gridCol w:w="568"/>
            <w:gridCol w:w="366"/>
            <w:gridCol w:w="3621"/>
            <w:gridCol w:w="206"/>
            <w:gridCol w:w="1690"/>
            <w:gridCol w:w="290"/>
            <w:gridCol w:w="2033"/>
            <w:gridCol w:w="191"/>
            <w:gridCol w:w="1870"/>
          </w:tblGrid>
        </w:tblGridChange>
      </w:tblGrid>
      <w:tr>
        <w:trPr>
          <w:cantSplit w:val="0"/>
          <w:trHeight w:val="1251" w:hRule="atLeast"/>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з/п</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Найменування заходів</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Джерела  та обсяг фінансування</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тис. грн.</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Відповідальний</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Час виконання заходів</w:t>
            </w:r>
            <w:r w:rsidDel="00000000" w:rsidR="00000000" w:rsidRPr="00000000">
              <w:rPr>
                <w:rtl w:val="0"/>
              </w:rPr>
            </w:r>
          </w:p>
        </w:tc>
      </w:tr>
      <w:tr>
        <w:trPr>
          <w:cantSplit w:val="0"/>
          <w:trHeight w:val="1066"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безпілотних літальних апаратів</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Сільський бюджет</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300 000.00</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Військова частини</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АХХХХ</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2024</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рік</w:t>
            </w:r>
          </w:p>
        </w:tc>
      </w:tr>
      <w:tr>
        <w:trPr>
          <w:cantSplit w:val="0"/>
          <w:trHeight w:val="258" w:hRule="atLeast"/>
          <w:tblHeader w:val="0"/>
        </w:trPr>
        <w:tc>
          <w:tcPr>
            <w:gridSpan w:val="9"/>
            <w:vAlign w:val="top"/>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Придбання матеріальних цінностей  </w:t>
            </w:r>
            <w:r w:rsidDel="00000000" w:rsidR="00000000" w:rsidRPr="00000000">
              <w:rPr>
                <w:rtl w:val="0"/>
              </w:rPr>
            </w:r>
          </w:p>
        </w:tc>
      </w:tr>
      <w:tr>
        <w:trPr>
          <w:cantSplit w:val="0"/>
          <w:trHeight w:val="258" w:hRule="atLeast"/>
          <w:tblHeader w:val="0"/>
        </w:trPr>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tl w:val="0"/>
              </w:rPr>
            </w:r>
          </w:p>
        </w:tc>
        <w:tc>
          <w:tcPr>
            <w:gridSpan w:val="2"/>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Найменування</w:t>
            </w:r>
            <w:r w:rsidDel="00000000" w:rsidR="00000000" w:rsidRPr="00000000">
              <w:rPr>
                <w:rtl w:val="0"/>
              </w:rPr>
            </w:r>
          </w:p>
        </w:tc>
        <w:tc>
          <w:tcPr>
            <w:gridSpan w:val="2"/>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Орієнтовна потреба (кількість)</w:t>
            </w:r>
            <w:r w:rsidDel="00000000" w:rsidR="00000000" w:rsidRPr="00000000">
              <w:rPr>
                <w:rtl w:val="0"/>
              </w:rPr>
            </w:r>
          </w:p>
        </w:tc>
        <w:tc>
          <w:tcPr>
            <w:gridSpan w:val="2"/>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Очікувана вартість одного БПЛА  (грн.)</w:t>
            </w:r>
            <w:r w:rsidDel="00000000" w:rsidR="00000000" w:rsidRPr="00000000">
              <w:rPr>
                <w:rtl w:val="0"/>
              </w:rPr>
            </w:r>
          </w:p>
        </w:tc>
        <w:tc>
          <w:tcPr>
            <w:gridSpan w:val="2"/>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Загальна сума коштів яку виділяє ХХХХХХХХ сільська рада</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(грн.)</w:t>
            </w:r>
            <w:r w:rsidDel="00000000" w:rsidR="00000000" w:rsidRPr="00000000">
              <w:rPr>
                <w:rtl w:val="0"/>
              </w:rPr>
            </w:r>
          </w:p>
        </w:tc>
      </w:tr>
      <w:tr>
        <w:trPr>
          <w:cantSplit w:val="0"/>
          <w:trHeight w:val="194" w:hRule="atLeast"/>
          <w:tblHeader w:val="0"/>
        </w:trPr>
        <w:tc>
          <w:tcPr>
            <w:vAlign w:val="top"/>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gridSpan w:val="2"/>
            <w:vAlign w:val="top"/>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безпілотних літальних апаратів</w:t>
            </w:r>
          </w:p>
        </w:tc>
        <w:tc>
          <w:tcPr>
            <w:gridSpan w:val="2"/>
            <w:vAlign w:val="top"/>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gridSpan w:val="2"/>
            <w:vAlign w:val="top"/>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2 529 107,21</w:t>
            </w:r>
          </w:p>
        </w:tc>
        <w:tc>
          <w:tcPr>
            <w:gridSpan w:val="2"/>
            <w:vAlign w:val="top"/>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300 000</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00</w:t>
            </w:r>
          </w:p>
        </w:tc>
      </w:tr>
      <w:tr>
        <w:trPr>
          <w:cantSplit w:val="0"/>
          <w:trHeight w:val="258" w:hRule="atLeast"/>
          <w:tblHeader w:val="0"/>
        </w:trPr>
        <w:tc>
          <w:tcPr>
            <w:gridSpan w:val="7"/>
            <w:vAlign w:val="top"/>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Всього</w:t>
            </w:r>
            <w:r w:rsidDel="00000000" w:rsidR="00000000" w:rsidRPr="00000000">
              <w:rPr>
                <w:rtl w:val="0"/>
              </w:rPr>
            </w:r>
          </w:p>
        </w:tc>
        <w:tc>
          <w:tcPr>
            <w:gridSpan w:val="2"/>
            <w:vAlign w:val="top"/>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300 000.00</w:t>
            </w:r>
            <w:r w:rsidDel="00000000" w:rsidR="00000000" w:rsidRPr="00000000">
              <w:rPr>
                <w:rtl w:val="0"/>
              </w:rPr>
            </w:r>
          </w:p>
        </w:tc>
      </w:tr>
      <w:tr>
        <w:trPr>
          <w:cantSplit w:val="0"/>
          <w:trHeight w:val="258" w:hRule="atLeast"/>
          <w:tblHeader w:val="0"/>
        </w:trPr>
        <w:tc>
          <w:tcPr>
            <w:gridSpan w:val="7"/>
            <w:vAlign w:val="top"/>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Разом по Програмі</w:t>
            </w:r>
            <w:r w:rsidDel="00000000" w:rsidR="00000000" w:rsidRPr="00000000">
              <w:rPr>
                <w:rtl w:val="0"/>
              </w:rPr>
            </w:r>
          </w:p>
        </w:tc>
        <w:tc>
          <w:tcPr>
            <w:gridSpan w:val="2"/>
            <w:vAlign w:val="top"/>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300 000.00</w:t>
            </w:r>
            <w:r w:rsidDel="00000000" w:rsidR="00000000" w:rsidRPr="00000000">
              <w:rPr>
                <w:rtl w:val="0"/>
              </w:rPr>
            </w:r>
          </w:p>
        </w:tc>
      </w:tr>
    </w:tbl>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Командир військової частини АХХХХ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полковник                                                                                            Олександр ПАЛІЙ</w:t>
      </w:r>
    </w:p>
    <w:sectPr>
      <w:footerReference r:id="rId8" w:type="default"/>
      <w:pgSz w:h="16838" w:w="11906" w:orient="portrait"/>
      <w:pgMar w:bottom="720" w:top="720" w:left="720"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Звичайний">
    <w:name w:val="Звичайний"/>
    <w:next w:val="Звичайний"/>
    <w:autoRedefine w:val="0"/>
    <w:hidden w:val="0"/>
    <w:qFormat w:val="0"/>
    <w:pPr>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ru-RU"/>
    </w:rPr>
  </w:style>
  <w:style w:type="character" w:styleId="Шрифтабзацузапромовчанням">
    <w:name w:val="Шрифт абзацу за промовчанням"/>
    <w:next w:val="Шрифтабзацузапромовчанням"/>
    <w:autoRedefine w:val="0"/>
    <w:hidden w:val="0"/>
    <w:qFormat w:val="1"/>
    <w:rPr>
      <w:w w:val="100"/>
      <w:position w:val="-1"/>
      <w:effect w:val="none"/>
      <w:vertAlign w:val="baseline"/>
      <w:cs w:val="0"/>
      <w:em w:val="none"/>
      <w:lang/>
    </w:rPr>
  </w:style>
  <w:style w:type="table" w:styleId="Звичайнатаблиця">
    <w:name w:val="Звичайна таблиця"/>
    <w:next w:val="Звичайнатаблиця"/>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маєсписку">
    <w:name w:val="Немає списку"/>
    <w:next w:val="Немаєсписку"/>
    <w:autoRedefine w:val="0"/>
    <w:hidden w:val="0"/>
    <w:qFormat w:val="1"/>
    <w:pPr>
      <w:suppressAutoHyphens w:val="1"/>
      <w:spacing w:line="1" w:lineRule="atLeast"/>
      <w:ind w:leftChars="-1" w:rightChars="0" w:firstLineChars="-1"/>
      <w:textDirection w:val="btLr"/>
      <w:textAlignment w:val="top"/>
      <w:outlineLvl w:val="0"/>
    </w:pPr>
  </w:style>
  <w:style w:type="paragraph" w:styleId="Безінтервалів">
    <w:name w:val="Без інтервалів"/>
    <w:next w:val="Безінтервалів"/>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k-UA"/>
    </w:rPr>
  </w:style>
  <w:style w:type="paragraph" w:styleId="Абзацсписку">
    <w:name w:val="Абзац списку"/>
    <w:basedOn w:val="Звичайний"/>
    <w:next w:val="Абзацсписку"/>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en-US" w:val="ru-RU"/>
    </w:rPr>
  </w:style>
  <w:style w:type="table" w:styleId="Сіткатаблиці">
    <w:name w:val="Сітка таблиці"/>
    <w:basedOn w:val="Звичайнатаблиця"/>
    <w:next w:val="Сіткатаблиці"/>
    <w:autoRedefine w:val="0"/>
    <w:hidden w:val="0"/>
    <w:qFormat w:val="0"/>
    <w:pPr>
      <w:suppressAutoHyphens w:val="1"/>
      <w:spacing w:after="0" w:line="240" w:lineRule="auto"/>
      <w:ind w:leftChars="-1" w:rightChars="0" w:firstLineChars="-1"/>
      <w:textDirection w:val="btLr"/>
      <w:textAlignment w:val="top"/>
      <w:outlineLvl w:val="0"/>
    </w:pPr>
    <w:rPr>
      <w:w w:val="100"/>
      <w:position w:val="-1"/>
      <w:effect w:val="none"/>
      <w:vertAlign w:val="baseline"/>
      <w:cs w:val="0"/>
      <w:em w:val="none"/>
      <w:lang w:val="ru-RU"/>
    </w:rPr>
    <w:tblPr>
      <w:tblStyle w:val="Сіткатаблиці"/>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Верхнійколонтитул">
    <w:name w:val="Верхній колонтитул"/>
    <w:basedOn w:val="Звичайний"/>
    <w:next w:val="Верхнійколонтитул"/>
    <w:autoRedefine w:val="0"/>
    <w:hidden w:val="0"/>
    <w:qFormat w:val="1"/>
    <w:pPr>
      <w:suppressAutoHyphens w:val="1"/>
      <w:spacing w:after="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und" w:val="ru-RU"/>
    </w:rPr>
  </w:style>
  <w:style w:type="character" w:styleId="ВерхнійколонтитулЗнак">
    <w:name w:val="Верхній колонтитул Знак"/>
    <w:next w:val="ВерхнійколонтитулЗнак"/>
    <w:autoRedefine w:val="0"/>
    <w:hidden w:val="0"/>
    <w:qFormat w:val="0"/>
    <w:rPr>
      <w:w w:val="100"/>
      <w:position w:val="-1"/>
      <w:effect w:val="none"/>
      <w:vertAlign w:val="baseline"/>
      <w:cs w:val="0"/>
      <w:em w:val="none"/>
      <w:lang w:val="ru-RU"/>
    </w:rPr>
  </w:style>
  <w:style w:type="paragraph" w:styleId="Нижнійколонтитул">
    <w:name w:val="Нижній колонтитул"/>
    <w:basedOn w:val="Звичайний"/>
    <w:next w:val="Нижнійколонтитул"/>
    <w:autoRedefine w:val="0"/>
    <w:hidden w:val="0"/>
    <w:qFormat w:val="1"/>
    <w:pPr>
      <w:suppressAutoHyphens w:val="1"/>
      <w:spacing w:after="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und" w:val="ru-RU"/>
    </w:rPr>
  </w:style>
  <w:style w:type="character" w:styleId="НижнійколонтитулЗнак">
    <w:name w:val="Нижній колонтитул Знак"/>
    <w:next w:val="НижнійколонтитулЗнак"/>
    <w:autoRedefine w:val="0"/>
    <w:hidden w:val="0"/>
    <w:qFormat w:val="0"/>
    <w:rPr>
      <w:w w:val="100"/>
      <w:position w:val="-1"/>
      <w:effect w:val="none"/>
      <w:vertAlign w:val="baseline"/>
      <w:cs w:val="0"/>
      <w:em w:val="none"/>
      <w:lang w:val="ru-RU"/>
    </w:rPr>
  </w:style>
  <w:style w:type="table" w:styleId="Сеткатаблицы1">
    <w:name w:val="Сетка таблицы1"/>
    <w:basedOn w:val="Звичайнатаблиця"/>
    <w:next w:val="Сіткатаблиці"/>
    <w:autoRedefine w:val="0"/>
    <w:hidden w:val="0"/>
    <w:qFormat w:val="0"/>
    <w:pPr>
      <w:suppressAutoHyphens w:val="1"/>
      <w:spacing w:after="0" w:line="240" w:lineRule="auto"/>
      <w:ind w:leftChars="-1" w:rightChars="0" w:firstLineChars="-1"/>
      <w:textDirection w:val="btLr"/>
      <w:textAlignment w:val="top"/>
      <w:outlineLvl w:val="0"/>
    </w:pPr>
    <w:rPr>
      <w:w w:val="100"/>
      <w:position w:val="-1"/>
      <w:effect w:val="none"/>
      <w:vertAlign w:val="baseline"/>
      <w:cs w:val="0"/>
      <w:em w:val="none"/>
      <w:lang w:val="ru-RU"/>
    </w:rPr>
    <w:tblPr>
      <w:tblStyle w:val="Сеткатаблицы1"/>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Текстувиносці">
    <w:name w:val="Текст у виносці"/>
    <w:basedOn w:val="Звичайний"/>
    <w:next w:val="Текстувиносці"/>
    <w:autoRedefine w:val="0"/>
    <w:hidden w:val="0"/>
    <w:qFormat w:val="1"/>
    <w:pPr>
      <w:suppressAutoHyphens w:val="1"/>
      <w:spacing w:after="0" w:line="240" w:lineRule="auto"/>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ru-RU"/>
    </w:rPr>
  </w:style>
  <w:style w:type="character" w:styleId="ТекстувиносціЗнак">
    <w:name w:val="Текст у виносці Знак"/>
    <w:next w:val="ТекстувиносціЗнак"/>
    <w:autoRedefine w:val="0"/>
    <w:hidden w:val="0"/>
    <w:qFormat w:val="0"/>
    <w:rPr>
      <w:rFonts w:ascii="Tahoma" w:cs="Tahoma" w:hAnsi="Tahoma"/>
      <w:w w:val="100"/>
      <w:position w:val="-1"/>
      <w:sz w:val="16"/>
      <w:szCs w:val="16"/>
      <w:effect w:val="none"/>
      <w:vertAlign w:val="baseline"/>
      <w:cs w:val="0"/>
      <w:em w:val="none"/>
      <w:lang w:val="ru-RU"/>
    </w:rPr>
  </w:style>
  <w:style w:type="character" w:styleId="Виділення">
    <w:name w:val="Виділення"/>
    <w:next w:val="Виділення"/>
    <w:autoRedefine w:val="0"/>
    <w:hidden w:val="0"/>
    <w:qFormat w:val="0"/>
    <w:rPr>
      <w:i w:val="1"/>
      <w:iCs w:val="1"/>
      <w:w w:val="100"/>
      <w:position w:val="-1"/>
      <w:effect w:val="none"/>
      <w:vertAlign w:val="baseline"/>
      <w:cs w:val="0"/>
      <w:em w:val="none"/>
      <w:lang/>
    </w:rPr>
  </w:style>
  <w:style w:type="paragraph" w:styleId="Звичайний(веб)">
    <w:name w:val="Звичайний (веб)"/>
    <w:basedOn w:val="Звичайний"/>
    <w:next w:val="Звичайний(веб)"/>
    <w:autoRedefine w:val="0"/>
    <w:hidden w:val="0"/>
    <w:qFormat w:val="0"/>
    <w:pPr>
      <w:suppressAutoHyphens w:val="0"/>
      <w:spacing w:after="240" w:before="240"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zh-CN" w:val="ru-RU"/>
    </w:rPr>
  </w:style>
  <w:style w:type="character" w:styleId="Знакпримітки">
    <w:name w:val="Знак примітки"/>
    <w:next w:val="Знакпримітки"/>
    <w:autoRedefine w:val="0"/>
    <w:hidden w:val="0"/>
    <w:qFormat w:val="1"/>
    <w:rPr>
      <w:w w:val="100"/>
      <w:position w:val="-1"/>
      <w:sz w:val="16"/>
      <w:szCs w:val="16"/>
      <w:effect w:val="none"/>
      <w:vertAlign w:val="baseline"/>
      <w:cs w:val="0"/>
      <w:em w:val="none"/>
      <w:lang/>
    </w:rPr>
  </w:style>
  <w:style w:type="paragraph" w:styleId="Текстпримітки">
    <w:name w:val="Текст примітки"/>
    <w:basedOn w:val="Звичайний"/>
    <w:next w:val="Текстпримітки"/>
    <w:autoRedefine w:val="0"/>
    <w:hidden w:val="0"/>
    <w:qFormat w:val="1"/>
    <w:pPr>
      <w:suppressAutoHyphens w:val="1"/>
      <w:spacing w:after="200" w:line="276" w:lineRule="auto"/>
      <w:ind w:leftChars="-1" w:rightChars="0" w:firstLineChars="-1"/>
      <w:textDirection w:val="btLr"/>
      <w:textAlignment w:val="top"/>
      <w:outlineLvl w:val="0"/>
    </w:pPr>
    <w:rPr>
      <w:w w:val="100"/>
      <w:position w:val="-1"/>
      <w:sz w:val="20"/>
      <w:szCs w:val="20"/>
      <w:effect w:val="none"/>
      <w:vertAlign w:val="baseline"/>
      <w:cs w:val="0"/>
      <w:em w:val="none"/>
      <w:lang w:bidi="ar-SA" w:eastAsia="en-US" w:val="ru-RU"/>
    </w:rPr>
  </w:style>
  <w:style w:type="character" w:styleId="ТекстприміткиЗнак">
    <w:name w:val="Текст примітки Знак"/>
    <w:next w:val="ТекстприміткиЗнак"/>
    <w:autoRedefine w:val="0"/>
    <w:hidden w:val="0"/>
    <w:qFormat w:val="0"/>
    <w:rPr>
      <w:w w:val="100"/>
      <w:position w:val="-1"/>
      <w:effect w:val="none"/>
      <w:vertAlign w:val="baseline"/>
      <w:cs w:val="0"/>
      <w:em w:val="none"/>
      <w:lang w:val="ru-RU"/>
    </w:rPr>
  </w:style>
  <w:style w:type="paragraph" w:styleId="Темапримітки">
    <w:name w:val="Тема примітки"/>
    <w:basedOn w:val="Текстпримітки"/>
    <w:next w:val="Текстпримітки"/>
    <w:autoRedefine w:val="0"/>
    <w:hidden w:val="0"/>
    <w:qFormat w:val="1"/>
    <w:pPr>
      <w:suppressAutoHyphens w:val="1"/>
      <w:spacing w:after="200" w:line="276"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en-US" w:val="ru-RU"/>
    </w:rPr>
  </w:style>
  <w:style w:type="character" w:styleId="ТемаприміткиЗнак">
    <w:name w:val="Тема примітки Знак"/>
    <w:next w:val="ТемаприміткиЗнак"/>
    <w:autoRedefine w:val="0"/>
    <w:hidden w:val="0"/>
    <w:qFormat w:val="0"/>
    <w:rPr>
      <w:b w:val="1"/>
      <w:bCs w:val="1"/>
      <w:w w:val="100"/>
      <w:position w:val="-1"/>
      <w:effect w:val="none"/>
      <w:vertAlign w:val="baseline"/>
      <w:cs w:val="0"/>
      <w:em w:val="none"/>
      <w:lang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6RwZG9hXnyk7kw3ud8XAJsZXSQ==">CgMxLjAyCWlkLmdqZGd4czgAciExYng3ZC1aZnJ6ZnhoYkNTWlI5ajh1RmROb3RfQTU5SU4=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2023-11-01T05:59:00Z</dcterms:created>
  <dc:creator>Користувач Windows</dc:creator>
</cp:coreProperties>
</file>